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4AAC748F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บ่อพลอย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่อพลอย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CF30DC2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53309719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F82BFB">
        <w:rPr>
          <w:rFonts w:ascii="TH SarabunIT๙" w:hAnsi="TH SarabunIT๙" w:cs="TH SarabunIT๙" w:hint="cs"/>
          <w:sz w:val="32"/>
          <w:szCs w:val="32"/>
          <w:cs/>
        </w:rPr>
        <w:t>บ่อพลอย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0C50B4C4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B744E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5D631CE0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F82BFB">
        <w:rPr>
          <w:rFonts w:ascii="TH SarabunIT๙" w:hAnsi="TH SarabunIT๙" w:cs="TH SarabunIT๙" w:hint="cs"/>
          <w:sz w:val="32"/>
          <w:szCs w:val="32"/>
          <w:cs/>
        </w:rPr>
        <w:t>บ่อพลอย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43DE4893" w:rsidR="009634E0" w:rsidRDefault="009634E0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</w:t>
      </w:r>
      <w:r w:rsidR="00B744E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5CE629DE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82BFB">
        <w:rPr>
          <w:rFonts w:ascii="TH SarabunIT๙" w:hAnsi="TH SarabunIT๙" w:cs="TH SarabunIT๙" w:hint="cs"/>
          <w:sz w:val="32"/>
          <w:szCs w:val="32"/>
          <w:cs/>
        </w:rPr>
        <w:t>บ่อพลอย อำเภอบ่อพลอย  จังหวัดกาญจนบุรี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549592D6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14225249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1FBCEDB8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0C7C9DD8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5A3DCCC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22C36E86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51AB22A0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14673D4C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ร้อยตำรวจโท  เฉลิม 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โพธิสาร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7A74F12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เฉลิม โพธิสาร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03FF6E81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FD64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บ่อพลอย</w:t>
      </w:r>
    </w:p>
    <w:p w14:paraId="2AA0FD82" w14:textId="793EFF16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00482417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CE6840C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ว่าที่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พันตำรวจโ</w:t>
      </w:r>
      <w:r w:rsidR="00B73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   </w:t>
      </w:r>
      <w:r w:rsidR="00B73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คณิต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73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แผนสมบูรณ์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77E87041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744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bookmarkStart w:id="1" w:name="_Hlk160819678"/>
      <w:r w:rsidR="00FD64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73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คณิต แผนสมบูรณ์</w:t>
      </w:r>
      <w:r w:rsidR="00FD64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bookmarkEnd w:id="1"/>
    <w:p w14:paraId="355A8AAB" w14:textId="6C0707D6" w:rsidR="00B73DD5" w:rsidRDefault="00B73DD5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รสืบสวน 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บ่อพลอย</w:t>
      </w:r>
    </w:p>
    <w:p w14:paraId="648F7766" w14:textId="09D75429" w:rsidR="00B4509E" w:rsidRPr="00AD3F99" w:rsidRDefault="00B73DD5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486757" wp14:editId="2BAE150E">
            <wp:simplePos x="0" y="0"/>
            <wp:positionH relativeFrom="margin">
              <wp:posOffset>2352675</wp:posOffset>
            </wp:positionH>
            <wp:positionV relativeFrom="paragraph">
              <wp:posOffset>153670</wp:posOffset>
            </wp:positionV>
            <wp:extent cx="1269365" cy="476120"/>
            <wp:effectExtent l="0" t="0" r="0" b="63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foregroundMark x1="46821" y1="68852" x2="46821" y2="688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7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260C0FCF" w14:textId="53C363C5" w:rsidR="00FD6452" w:rsidRPr="00FA4FD0" w:rsidRDefault="00FD6452" w:rsidP="00FD6452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7C7327F" w14:textId="77FF8D7A" w:rsidR="00FD6452" w:rsidRPr="00FA4FD0" w:rsidRDefault="00FD6452" w:rsidP="00FD64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B73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นัฐ</w:t>
      </w:r>
      <w:proofErr w:type="spellEnd"/>
      <w:r w:rsidR="00B73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เอกเผ่าพันธุ์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6FE8F1C0" w14:textId="77777777" w:rsidR="00FD6452" w:rsidRDefault="00FD6452" w:rsidP="00FD64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ธรบ่อพลอย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950EF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73DD5"/>
    <w:rsid w:val="00B744E3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82BFB"/>
    <w:rsid w:val="00FA4FD0"/>
    <w:rsid w:val="00FC0981"/>
    <w:rsid w:val="00FD2FD6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Lemel</cp:lastModifiedBy>
  <cp:revision>2</cp:revision>
  <cp:lastPrinted>2024-03-10T08:14:00Z</cp:lastPrinted>
  <dcterms:created xsi:type="dcterms:W3CDTF">2025-04-08T08:53:00Z</dcterms:created>
  <dcterms:modified xsi:type="dcterms:W3CDTF">2025-04-08T08:53:00Z</dcterms:modified>
</cp:coreProperties>
</file>